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 w:lineRule="atLeast"/>
        <w:ind w:left="0" w:right="0" w:firstLine="420"/>
        <w:jc w:val="both"/>
        <w:rPr>
          <w:rFonts w:ascii="仿宋" w:hAnsi="仿宋" w:eastAsia="仿宋" w:cs="仿宋"/>
          <w:sz w:val="32"/>
          <w:szCs w:val="32"/>
        </w:rPr>
      </w:pPr>
      <w:r>
        <w:rPr>
          <w:rFonts w:hint="eastAsia" w:ascii="仿宋" w:hAnsi="仿宋" w:eastAsia="仿宋" w:cs="仿宋"/>
          <w:sz w:val="32"/>
          <w:szCs w:val="32"/>
          <w:bdr w:val="none" w:color="auto" w:sz="0" w:space="0"/>
        </w:rPr>
        <w:t>国家艺术基金项目资助管理办法</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（试  行）</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第一章    总则</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第一条  为促进我国艺术的繁荣发展，确保国家艺术基金项目资助管理科学合理、公平公正，根据《国家艺术基金章程》及相关法律法规，制定本办法。</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第二条  国家艺术基金项目资助管理遵循“专家评审、择优立项、公平公正、公开透明”的原则，执行“尊重艺术、发扬民主、提倡竞争、促进合作、激励创新、引领未来”的工作方针。</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第三条  国家艺术基金项目资助申报主体面向符合条件的自然人、法人或其他组织。</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第四条  国家艺术基金资助项目分为一般项目和特别项目。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一般项目指常规评审程序项目；特别项目指国家交办的项目。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第二章　范围与方式</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第五条  国家艺术基金项目资助范围包括创作生产、传播交流推广、征集收藏和人才培养等方面。具体资助范围如下：</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 创作生产</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1、资助戏剧、音乐、舞蹈、曲艺、杂技、木偶、皮影等优秀作品的创作生产。</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2、资助美术、书法、摄影等优秀作品的创作生产。</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3、资助不同艺术样式融合创新和新兴艺术门类优秀作品的创作生产。</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（二） 传播交流推广</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1、盘活、整合优质艺术存量资源，及本基金资助的优秀艺术作品的传播交流推广，推动社会共享。</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2、资助体现导向、创意新颖、具有示范作用的全国性和区域性艺术活动项目。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3、资助艺术与生活、艺术与社会、艺术与民众相融合的公益活动。</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4、重点资助艺术理论评论和学术交流；资助具有现实意义的艺术政策研究。</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 征集收藏</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根据国家艺术基金确定的方向和标准，重点征集收藏本基金资助项目和具有较高艺术价值和社会价值的艺术作品，积累国家艺术财富。</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（四） 人才培养</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1、资助特殊的、急需的、紧缺的青年艺术人才和复合型艺术管理人才，重在经验传授和实践提高的人才培训。</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2、建立“国家艺术基金”的奖励机制，表彰、奖掖体现导向、追求卓越、彰显民族精神与时代品格，经得起人民和历史检验的杰出艺术家、艺术精品。</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第六条  国家艺术基金的资助方式分为三类：项目资助，即根据项目申报类别及评审情况予以相应资助；优秀奖励，即对优秀作品、杰出人才进行表彰与奖励；匹配资助，即为引导和鼓励社会力量支持艺术发展，对获得其他社会资助的项目进行有限陪同资助。</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第三章 申报与评审</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第七条  国家艺术基金应根据国民经济和社会发展规划、国家艺术发展规划及现实需求，明确优先发展领域和资助范围，制定项目申报指南，公开向社会发布，指导项目申报。</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第八条  国家艺术基金管理中心（以下简称“管理中心”）每年12月31日以前发布下一年度项目资助申报指南，申报单位及个人依据申报指南载明的条件与要求确定申报项目并填报项目申报表，报送管理中心。</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第九条  管理中心在地方文化行政部门或本基金委托的相关机构协助下，自基金项目资助申请截止之日起30日内，完成对申报项目的审查。符合申报指南规定的，予以受理；不符合的，通知申报主体不予受理。</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第十条  国家艺术基金项目评审实行专家评审制度，管理中心应当聘请具有较高学术水平、良好职业道德的专家，组建国家艺术基金专家库，具体办法由《国家艺术基金专家委员会管理办法》另行规定。</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评审分初评、复评、终审。</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（一）初评。管理中心按申报项目专业分类，以随机抽取的方式从本基金专家库中抽取若干名专家，分专业组成初评专家组。初评专家组对本专业申报项目进行评审，提出进入复评程序的项目。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二）复评。管理中心按申报项目专业分类，以随机抽取的方式从本基金专家库中抽取专家，分专业组成复评专家组。需要组织现场答辩论证的，管理中心应组织现场答辩论证。复评专家组对进入复评程序的项目进行综合评审，提出拟资助项目和资助额度的建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（三）终审。理事会审定复评结果和资助额度。资助项目应向社会公示、公告。</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第十一条　申报主体对不予立项资助有异议的，可自结果公示之日起15日内，向管理中心提出书面复查请求。对评审专家的艺术或学术判断有不同意见，不得作为提出复查请求的理由。</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管理中心对申报主体提出的复查请求，应自收到之日起60日内完成审查。认为原决定符合本办法规定的，予以维持，并书面通知申报主体；认为原决定不符合本办法规定的，撤销原决定，重新组织评审、做出决定，并书面通知申报主体。</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第十二条  国家艺术基金对特别项目可采取直接委托、资格资质审查、现场答辩论证进行评审。根据申报主体的竞争力、项目方案的可行性等综合因素，择优确定项目承担主体。</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第四章　拨款与支出</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第十三条  资助项目公告后，管理中心应与获得立项资助的申报主体（“项目承担主体”）签订《国家艺术基金项目资助协议书》，明确各方权利义务，按协议约定拨付项目资金。</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第十四条  资助经费应遵照《国家艺术基金项目经费管理办法》执行。</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第五章　实施与管理</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第十五条  项目承担主体负责资助项目的具体实施，并根据相关财经法规和《国家艺术基金项目经费管理办法》，确保资助经费的使用效益，并承担相关责任。</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第十六条  机构和单位申报主体，资助经费核算必须纳入项目承担主体或受委托单位会计核算体系，专款专用，单独核算，并完整保留与资助项目有关的会计资料。</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第十七条  个人申报主体，资助经费按项目申报表中所填的经费预算和支出范围执行，用于创作相关的开支，并完整保留相关票据。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第十八条  有下列变更事项之一者，项目承担主体须提交书面申请，报管理中心审批。资助项目变更审批期间，管理中心暂停拨款。</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（一）变更项目承担主体，或项目主体丧失执行能力；</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（二）变更已批准的资助项目名称；</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（三）资助项目内容有重大变化；</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（四）项目预算有重大调整；</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（五）资助项目延期完成；</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（六）终止资助项目；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（七）其他需要审批的重大变更事项。</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除上述需审批事项外，其他事项变更需报管理中心备案。</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第十九条  跨年度资助项目实行年度检查制度，资助项目主体应根据项目计划实施情况及下年度实施计划，填制《国家艺术基金项目资助年度检查表》，并按规定时间报送管理中心。</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第二十条  资助项目实行结项验收制度，管理中心组成结项验收专家组，依据本办法和《国家艺术基金项目资助协议书》对资助项目成果进行检查、评定、验收，并出具专家组结项验收报告。结项验收合格项目报理事会批准后，由管理中心下达结项通知，不合格项目由管理中心按本办法第二十四条规定处理。</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第二十一条  本基金全额资助项目完成后，项目经费结余应当退回管理中心。</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第二十二条  验收合格的资助项目成果，应在显著位置标注“国家艺术基金资助项目”字样。</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第六章　罚  则</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第二十三条  管理中心有权检查项目经费管理使用情况，并对资助项目进行监督和结项审计，项目承担主体应积极配合，如实反映情况。检查及审计结论作为续拨经费、评审新报资助项目的重要依据。</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第二十四条  项目承担主体违反本办法及国家艺术基金其他有关管理规定者，管理中心给予批评、通报，并追究责任人相关责任。有下列情形之一者，报理事会批准后追回已拨经费，并取消项目承担主体三年以上申报资格，涉嫌违法违纪的，移交有关部门处理。</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（一）违反国家法律、法规及有关规定；</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（二）项目内容有违公序良俗；</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（三）资助项目存在严重质量问题；</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（四）有弄虚作假行为；</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（五）与立项的资助项目内容严重不符；</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（六）多次延期仍不能完成；</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（七）严重违反财务会计制度规定；</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（八）项目申报、评审、验收工作中有行贿行为；</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（九）其他违法和严重违规事项。</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Style w:val="4"/>
          <w:rFonts w:hint="eastAsia" w:ascii="宋体" w:hAnsi="宋体" w:eastAsia="宋体" w:cs="宋体"/>
          <w:b/>
          <w:sz w:val="32"/>
          <w:szCs w:val="32"/>
          <w:bdr w:val="none" w:color="auto" w:sz="0" w:space="0"/>
        </w:rPr>
        <w:t>第七章　附  则</w:t>
      </w:r>
    </w:p>
    <w:p>
      <w:pPr>
        <w:pStyle w:val="2"/>
        <w:keepNext w:val="0"/>
        <w:keepLines w:val="0"/>
        <w:widowControl/>
        <w:suppressLineNumbers w:val="0"/>
        <w:spacing w:before="0" w:beforeAutospacing="0" w:after="0" w:afterAutospacing="0" w:line="27"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第二十五条  本办法由国家艺术基金管理中心负责解释和修订。</w:t>
      </w:r>
    </w:p>
    <w:p>
      <w:pPr>
        <w:pStyle w:val="2"/>
        <w:keepNext w:val="0"/>
        <w:keepLines w:val="0"/>
        <w:widowControl/>
        <w:suppressLineNumbers w:val="0"/>
        <w:spacing w:before="0" w:beforeAutospacing="0" w:after="0" w:afterAutospacing="0" w:line="27"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第二十六条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E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8">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2017-07-07T03:02:03Z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