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961"/>
        <w:gridCol w:w="1014"/>
        <w:gridCol w:w="961"/>
        <w:gridCol w:w="1003"/>
        <w:gridCol w:w="1014"/>
        <w:gridCol w:w="997"/>
        <w:gridCol w:w="961"/>
        <w:gridCol w:w="1009"/>
        <w:gridCol w:w="547"/>
        <w:gridCol w:w="961"/>
        <w:gridCol w:w="500"/>
        <w:gridCol w:w="1312"/>
        <w:gridCol w:w="500"/>
        <w:gridCol w:w="961"/>
        <w:gridCol w:w="5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kern w:val="0"/>
                <w:sz w:val="32"/>
                <w:szCs w:val="32"/>
              </w:rPr>
              <w:t>附件2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Arial"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Arial"/>
                <w:bCs/>
                <w:kern w:val="0"/>
                <w:sz w:val="44"/>
                <w:szCs w:val="44"/>
              </w:rPr>
              <w:t>湖南省艺术专家库专家信息汇总表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782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  <w:t>（请按照汇总后的专家信息逐人、逐项填写）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所属系统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专家职务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专业职称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艺术类型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业务类型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教育程度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市州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67A97"/>
    <w:rsid w:val="20E6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2017-10-09T03:39:00Z</dcterms:created>
  <dc:creator>admin</dc:creator>
  <cp:lastModifiedBy>admin</cp:lastModifiedBy>
  <dcterms:modified xsi:type="dcterms:W3CDTF">2017-10-09T03:40:22Z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